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BCCEF70" w14:textId="269460BF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C51BD6"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10</w:t>
      </w:r>
      <w:r w:rsidR="00A04A7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04</w:t>
      </w:r>
      <w:r w:rsidR="00A85FC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</w:p>
    <w:p w14:paraId="500A517C" w14:textId="77777777" w:rsidR="00ED6DE4" w:rsidRPr="00236E67" w:rsidRDefault="00ED6DE4" w:rsidP="00236E6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45228378" w14:textId="5BC36BB2" w:rsidR="00A04A76" w:rsidRDefault="00A85FCC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A85FCC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Дорожный знак 6.4.17д "Парковка для инвалидов", 700х700</w:t>
      </w:r>
    </w:p>
    <w:p w14:paraId="730769CE" w14:textId="77777777" w:rsidR="00A85FCC" w:rsidRPr="00236E67" w:rsidRDefault="00A85FCC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590AAD3D" w:rsidR="00ED6DE4" w:rsidRPr="00236E67" w:rsidRDefault="00357C2D" w:rsidP="00EE64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="00EC456A" w:rsidRPr="00236E67">
        <w:rPr>
          <w:rFonts w:asciiTheme="minorHAnsi" w:hAnsiTheme="minorHAnsi" w:cstheme="minorHAnsi"/>
          <w:sz w:val="24"/>
          <w:szCs w:val="24"/>
        </w:rPr>
        <w:t>ля</w:t>
      </w:r>
      <w:r w:rsidR="00A04A76">
        <w:rPr>
          <w:rFonts w:asciiTheme="minorHAnsi" w:hAnsiTheme="minorHAnsi" w:cstheme="minorHAnsi"/>
          <w:sz w:val="24"/>
          <w:szCs w:val="24"/>
        </w:rPr>
        <w:t xml:space="preserve"> обозначения доступной парковки</w:t>
      </w:r>
      <w:r w:rsidR="00A85FCC">
        <w:rPr>
          <w:rFonts w:asciiTheme="minorHAnsi" w:hAnsiTheme="minorHAnsi" w:cstheme="minorHAnsi"/>
          <w:sz w:val="24"/>
          <w:szCs w:val="24"/>
        </w:rPr>
        <w:t xml:space="preserve"> для МГН</w:t>
      </w:r>
      <w:r w:rsidR="00A04A76">
        <w:rPr>
          <w:rFonts w:asciiTheme="minorHAnsi" w:hAnsiTheme="minorHAnsi" w:cstheme="minorHAnsi"/>
          <w:sz w:val="24"/>
          <w:szCs w:val="24"/>
        </w:rPr>
        <w:t xml:space="preserve"> </w:t>
      </w:r>
      <w:r w:rsidR="00951B76" w:rsidRPr="00236E6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814"/>
      </w:tblGrid>
      <w:tr w:rsidR="00CD5008" w:rsidRPr="00236E67" w14:paraId="1AC85E76" w14:textId="77777777" w:rsidTr="003442AF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14" w:type="dxa"/>
            <w:shd w:val="clear" w:color="auto" w:fill="auto"/>
          </w:tcPr>
          <w:p w14:paraId="2309E70E" w14:textId="114A0861" w:rsidR="00A85FCC" w:rsidRDefault="00BA16B2" w:rsidP="00683D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Дорожный знак представляет собой изделие, выполненное </w:t>
            </w:r>
            <w:r w:rsidR="003442AF">
              <w:rPr>
                <w:rFonts w:asciiTheme="minorHAnsi" w:hAnsiTheme="minorHAnsi" w:cstheme="minorHAnsi"/>
                <w:sz w:val="24"/>
                <w:szCs w:val="24"/>
              </w:rPr>
              <w:t>в антивандальном исполнении</w:t>
            </w:r>
            <w:r w:rsidR="00357C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442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>из оцинкованной стали с последующим нанесением визуальной информации для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обозначения</w:t>
            </w:r>
            <w:r w:rsidR="005C6574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парковочного места</w:t>
            </w:r>
            <w:r w:rsidR="00A85FCC">
              <w:rPr>
                <w:rFonts w:asciiTheme="minorHAnsi" w:hAnsiTheme="minorHAnsi" w:cstheme="minorHAnsi"/>
                <w:sz w:val="24"/>
                <w:szCs w:val="24"/>
              </w:rPr>
              <w:t xml:space="preserve"> для людей с инвалидностью.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27B2F0A" w14:textId="06B095F4" w:rsidR="00CD5008" w:rsidRPr="00683DAD" w:rsidRDefault="00A85FCC" w:rsidP="00683DAD">
            <w:pPr>
              <w:rPr>
                <w:sz w:val="24"/>
                <w:szCs w:val="24"/>
              </w:rPr>
            </w:pPr>
            <w:r w:rsidRPr="00A85FCC">
              <w:rPr>
                <w:rFonts w:asciiTheme="minorHAnsi" w:hAnsiTheme="minorHAnsi" w:cstheme="minorHAnsi"/>
                <w:sz w:val="24"/>
                <w:szCs w:val="24"/>
              </w:rPr>
              <w:t>Дорожный знак выполнен в соответствии с ГОСТ Р 52290.</w:t>
            </w:r>
            <w:r w:rsidR="00E22C3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A16B2" w:rsidRPr="00236E67" w14:paraId="341815A5" w14:textId="77777777" w:rsidTr="003442AF">
        <w:tc>
          <w:tcPr>
            <w:tcW w:w="2820" w:type="dxa"/>
            <w:shd w:val="clear" w:color="auto" w:fill="auto"/>
          </w:tcPr>
          <w:p w14:paraId="7BD9BDAB" w14:textId="7BF18D95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 xml:space="preserve">Требования к </w:t>
            </w:r>
            <w:r w:rsidR="000D4020">
              <w:rPr>
                <w:sz w:val="24"/>
                <w:szCs w:val="24"/>
              </w:rPr>
              <w:t xml:space="preserve">марке используемых </w:t>
            </w:r>
            <w:r w:rsidRPr="00BA16B2">
              <w:rPr>
                <w:sz w:val="24"/>
                <w:szCs w:val="24"/>
              </w:rPr>
              <w:t>материал</w:t>
            </w:r>
            <w:r w:rsidR="000D4020">
              <w:rPr>
                <w:sz w:val="24"/>
                <w:szCs w:val="24"/>
              </w:rPr>
              <w:t>ов</w:t>
            </w:r>
          </w:p>
        </w:tc>
        <w:tc>
          <w:tcPr>
            <w:tcW w:w="6814" w:type="dxa"/>
            <w:shd w:val="clear" w:color="auto" w:fill="auto"/>
          </w:tcPr>
          <w:p w14:paraId="6B4E40C7" w14:textId="2C23F7A3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>С целью обеспечения антивандальных свойств, высоких эксплуатационных характеристик дорожны</w:t>
            </w:r>
            <w:r w:rsidR="000D4020">
              <w:rPr>
                <w:sz w:val="24"/>
                <w:szCs w:val="24"/>
              </w:rPr>
              <w:t>е</w:t>
            </w:r>
            <w:r w:rsidRPr="00BA16B2">
              <w:rPr>
                <w:sz w:val="24"/>
                <w:szCs w:val="24"/>
              </w:rPr>
              <w:t xml:space="preserve"> знак долж</w:t>
            </w:r>
            <w:r w:rsidR="003442AF">
              <w:rPr>
                <w:sz w:val="24"/>
                <w:szCs w:val="24"/>
              </w:rPr>
              <w:t>е</w:t>
            </w:r>
            <w:r w:rsidR="000D4020">
              <w:rPr>
                <w:sz w:val="24"/>
                <w:szCs w:val="24"/>
              </w:rPr>
              <w:t>н</w:t>
            </w:r>
            <w:r w:rsidRPr="00BA16B2">
              <w:rPr>
                <w:sz w:val="24"/>
                <w:szCs w:val="24"/>
              </w:rPr>
              <w:t xml:space="preserve"> быть выполнен на основе оцинкованной стали толщиной не менее 0,5мм</w:t>
            </w:r>
            <w:r w:rsidR="00FB16E2">
              <w:rPr>
                <w:sz w:val="24"/>
                <w:szCs w:val="24"/>
              </w:rPr>
              <w:t xml:space="preserve">.                                                                                   </w:t>
            </w:r>
            <w:r w:rsidR="003442AF">
              <w:rPr>
                <w:sz w:val="24"/>
                <w:szCs w:val="24"/>
              </w:rPr>
              <w:t xml:space="preserve">                                     </w:t>
            </w:r>
            <w:r w:rsidR="00FB16E2">
              <w:rPr>
                <w:sz w:val="24"/>
                <w:szCs w:val="24"/>
              </w:rPr>
              <w:t xml:space="preserve">   Нанесение визуальной информации осуществляется по средством специальной самоклеящейся </w:t>
            </w:r>
            <w:r w:rsidR="00CC5F35">
              <w:rPr>
                <w:sz w:val="24"/>
                <w:szCs w:val="24"/>
              </w:rPr>
              <w:t xml:space="preserve">ПВХ </w:t>
            </w:r>
            <w:r w:rsidR="00FB16E2">
              <w:rPr>
                <w:sz w:val="24"/>
                <w:szCs w:val="24"/>
              </w:rPr>
              <w:t>пленк</w:t>
            </w:r>
            <w:r w:rsidR="00E22C30">
              <w:rPr>
                <w:sz w:val="24"/>
                <w:szCs w:val="24"/>
              </w:rPr>
              <w:t>и типа А в соответствии с ГОСТ 52290.</w:t>
            </w:r>
          </w:p>
        </w:tc>
      </w:tr>
      <w:tr w:rsidR="007F149D" w:rsidRPr="00236E67" w14:paraId="01837C54" w14:textId="77777777" w:rsidTr="003442AF">
        <w:tc>
          <w:tcPr>
            <w:tcW w:w="2820" w:type="dxa"/>
            <w:shd w:val="clear" w:color="auto" w:fill="auto"/>
          </w:tcPr>
          <w:p w14:paraId="00D4C184" w14:textId="214AB5F1" w:rsidR="007F149D" w:rsidRPr="00BA16B2" w:rsidRDefault="007F149D" w:rsidP="00B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конструкции дорожных знаков</w:t>
            </w:r>
          </w:p>
        </w:tc>
        <w:tc>
          <w:tcPr>
            <w:tcW w:w="6814" w:type="dxa"/>
            <w:shd w:val="clear" w:color="auto" w:fill="auto"/>
          </w:tcPr>
          <w:p w14:paraId="4C0BE7B3" w14:textId="647E2D00" w:rsidR="007F149D" w:rsidRPr="007F149D" w:rsidRDefault="007F149D" w:rsidP="007F1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149D">
              <w:rPr>
                <w:sz w:val="24"/>
                <w:szCs w:val="24"/>
              </w:rPr>
              <w:t xml:space="preserve">Для придания дополнительной прочности знак крепится на дополнительный каркас. </w:t>
            </w:r>
          </w:p>
          <w:p w14:paraId="7D109DD2" w14:textId="7FC4A50D" w:rsidR="007F149D" w:rsidRPr="00BA16B2" w:rsidRDefault="007F149D" w:rsidP="007F149D">
            <w:pPr>
              <w:rPr>
                <w:sz w:val="24"/>
                <w:szCs w:val="24"/>
              </w:rPr>
            </w:pPr>
            <w:r w:rsidRPr="007F149D">
              <w:rPr>
                <w:sz w:val="24"/>
                <w:szCs w:val="24"/>
              </w:rPr>
              <w:t>Углы основ обрабатываются на вырубных прессах.</w:t>
            </w:r>
          </w:p>
        </w:tc>
      </w:tr>
      <w:tr w:rsidR="00CD5008" w:rsidRPr="00236E67" w14:paraId="003C9342" w14:textId="77777777" w:rsidTr="003442AF">
        <w:tc>
          <w:tcPr>
            <w:tcW w:w="2820" w:type="dxa"/>
            <w:shd w:val="clear" w:color="auto" w:fill="auto"/>
          </w:tcPr>
          <w:p w14:paraId="6DBC3A7A" w14:textId="5B1BA885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</w:tcPr>
          <w:p w14:paraId="1BFC373C" w14:textId="43D44D34" w:rsidR="00BA16B2" w:rsidRDefault="00BA16B2" w:rsidP="00236E67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BA16B2">
              <w:rPr>
                <w:color w:val="000000"/>
                <w:sz w:val="24"/>
                <w:szCs w:val="24"/>
              </w:rPr>
              <w:t xml:space="preserve">С целью обеспечения доступного рассмотрения знака его габаритные размеры должны быть не менее 700мм по ширине и не менее 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BA16B2">
              <w:rPr>
                <w:color w:val="000000"/>
                <w:sz w:val="24"/>
                <w:szCs w:val="24"/>
              </w:rPr>
              <w:t>0мм по высоте.</w:t>
            </w:r>
            <w:r w:rsidR="00C636C6">
              <w:rPr>
                <w:color w:val="000000"/>
                <w:sz w:val="24"/>
                <w:szCs w:val="24"/>
              </w:rPr>
              <w:t xml:space="preserve"> Глубина </w:t>
            </w:r>
            <w:r w:rsidR="007D3FFF">
              <w:rPr>
                <w:color w:val="000000"/>
                <w:sz w:val="24"/>
                <w:szCs w:val="24"/>
              </w:rPr>
              <w:t xml:space="preserve">изделия </w:t>
            </w:r>
            <w:r w:rsidR="00C636C6">
              <w:rPr>
                <w:color w:val="000000"/>
                <w:sz w:val="24"/>
                <w:szCs w:val="24"/>
              </w:rPr>
              <w:t xml:space="preserve">с учетом крепежных элементов не </w:t>
            </w:r>
            <w:r w:rsidR="000D4020">
              <w:rPr>
                <w:color w:val="000000"/>
                <w:sz w:val="24"/>
                <w:szCs w:val="24"/>
              </w:rPr>
              <w:t>более 12</w:t>
            </w:r>
            <w:r w:rsidR="003442AF">
              <w:rPr>
                <w:color w:val="000000"/>
                <w:sz w:val="24"/>
                <w:szCs w:val="24"/>
              </w:rPr>
              <w:t>0</w:t>
            </w:r>
            <w:r w:rsidR="000D4020">
              <w:rPr>
                <w:color w:val="000000"/>
                <w:sz w:val="24"/>
                <w:szCs w:val="24"/>
              </w:rPr>
              <w:t>мм.</w:t>
            </w:r>
          </w:p>
          <w:p w14:paraId="691C5D84" w14:textId="14585687" w:rsidR="00CD5008" w:rsidRPr="00236E67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 Допустимые отклонения 1мм.</w:t>
            </w:r>
          </w:p>
        </w:tc>
      </w:tr>
      <w:tr w:rsidR="00963BC4" w:rsidRPr="00236E67" w14:paraId="01ECAC5D" w14:textId="77777777" w:rsidTr="003442AF">
        <w:tc>
          <w:tcPr>
            <w:tcW w:w="2820" w:type="dxa"/>
            <w:shd w:val="clear" w:color="auto" w:fill="auto"/>
          </w:tcPr>
          <w:p w14:paraId="3A0BDE62" w14:textId="4F1CCCDC" w:rsidR="00111D8D" w:rsidRPr="00236E67" w:rsidRDefault="00963BC4" w:rsidP="00DF5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  <w:r w:rsidR="00DF5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</w:tcPr>
          <w:p w14:paraId="745F2A74" w14:textId="20237FE6" w:rsidR="00963BC4" w:rsidRPr="00236E67" w:rsidRDefault="00BA16B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лучшей видимости дорожного знака визуальная информация должна располагаться на </w:t>
            </w:r>
            <w:r w:rsidR="003442AF">
              <w:rPr>
                <w:rFonts w:asciiTheme="minorHAnsi" w:hAnsiTheme="minorHAnsi" w:cstheme="minorHAnsi"/>
                <w:sz w:val="24"/>
                <w:szCs w:val="24"/>
              </w:rPr>
              <w:t>голубом</w:t>
            </w: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 фоне.</w:t>
            </w:r>
          </w:p>
        </w:tc>
      </w:tr>
      <w:tr w:rsidR="00BA16B2" w:rsidRPr="00236E67" w14:paraId="767FFBB1" w14:textId="77777777" w:rsidTr="003442AF">
        <w:tc>
          <w:tcPr>
            <w:tcW w:w="2820" w:type="dxa"/>
            <w:shd w:val="clear" w:color="auto" w:fill="auto"/>
          </w:tcPr>
          <w:p w14:paraId="74A15743" w14:textId="5ADF5117" w:rsidR="00BA16B2" w:rsidRPr="00236E67" w:rsidRDefault="00BA16B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>Требования к монтажу</w:t>
            </w:r>
            <w:r w:rsidR="007F149D">
              <w:rPr>
                <w:sz w:val="24"/>
                <w:szCs w:val="24"/>
              </w:rPr>
              <w:t xml:space="preserve"> дорожного знака </w:t>
            </w:r>
          </w:p>
        </w:tc>
        <w:tc>
          <w:tcPr>
            <w:tcW w:w="6814" w:type="dxa"/>
            <w:shd w:val="clear" w:color="auto" w:fill="auto"/>
          </w:tcPr>
          <w:p w14:paraId="6C9DA2EB" w14:textId="4709A6CF" w:rsidR="00AA31DD" w:rsidRPr="00802790" w:rsidRDefault="00683DAD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Монтаж </w:t>
            </w:r>
            <w:r w:rsidR="0072533C" w:rsidRPr="0072533C">
              <w:rPr>
                <w:rFonts w:asciiTheme="minorHAnsi" w:hAnsiTheme="minorHAnsi" w:cstheme="minorHAnsi"/>
                <w:sz w:val="24"/>
                <w:szCs w:val="24"/>
              </w:rPr>
              <w:t>изделия</w:t>
            </w: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 осуществляется по средством </w:t>
            </w:r>
            <w:r w:rsidR="0072533C">
              <w:rPr>
                <w:rFonts w:asciiTheme="minorHAnsi" w:hAnsiTheme="minorHAnsi" w:cstheme="minorHAnsi"/>
                <w:sz w:val="24"/>
                <w:szCs w:val="24"/>
              </w:rPr>
              <w:t xml:space="preserve">П-образных </w:t>
            </w: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>кронштейнов</w:t>
            </w:r>
            <w:r w:rsidR="0072533C"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 в количестве не менее 4 штук, выполненных из оцинкованной стали толщиной не менее 0,8 мм.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="001F6795" w:rsidRPr="001F67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Кронштейны должны 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>обеспечивать возможность регулировки под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 диаметр столбов от 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>0 до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 xml:space="preserve"> 60мм.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5008" w:rsidRPr="00236E67" w14:paraId="2EEDDFAC" w14:textId="77777777" w:rsidTr="003442AF">
        <w:tc>
          <w:tcPr>
            <w:tcW w:w="2820" w:type="dxa"/>
            <w:shd w:val="clear" w:color="auto" w:fill="auto"/>
          </w:tcPr>
          <w:p w14:paraId="7B129002" w14:textId="64AD0771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6814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3442AF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14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3442AF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814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51606924" w14:textId="77777777" w:rsidR="00357C2D" w:rsidRDefault="00357C2D" w:rsidP="00236E67">
      <w:pPr>
        <w:rPr>
          <w:rFonts w:cs="Calibri"/>
          <w:b/>
          <w:sz w:val="24"/>
          <w:szCs w:val="24"/>
        </w:rPr>
      </w:pPr>
    </w:p>
    <w:p w14:paraId="212E3142" w14:textId="26316E4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72023E44" w:rsidR="00EE64CE" w:rsidRDefault="00A85FCC" w:rsidP="00236E67">
      <w:pPr>
        <w:spacing w:line="240" w:lineRule="auto"/>
        <w:rPr>
          <w:rFonts w:cs="Calibri"/>
          <w:sz w:val="24"/>
          <w:szCs w:val="24"/>
        </w:rPr>
      </w:pPr>
      <w:r w:rsidRPr="00A85FCC">
        <w:rPr>
          <w:rFonts w:cs="Calibri"/>
          <w:sz w:val="24"/>
          <w:szCs w:val="24"/>
        </w:rPr>
        <w:t>Дорожный знак 6.4.17д "Парковка для инвалидов", 700х700</w:t>
      </w:r>
      <w:r>
        <w:rPr>
          <w:rFonts w:cs="Calibri"/>
          <w:sz w:val="24"/>
          <w:szCs w:val="24"/>
        </w:rPr>
        <w:t xml:space="preserve"> </w:t>
      </w:r>
      <w:r w:rsidR="00EE64CE">
        <w:rPr>
          <w:rFonts w:cs="Calibri"/>
          <w:sz w:val="24"/>
          <w:szCs w:val="24"/>
        </w:rPr>
        <w:t>– 1шт.</w:t>
      </w:r>
    </w:p>
    <w:p w14:paraId="476EE7AC" w14:textId="41F88724" w:rsid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Гарантийные обязательства не менее 2 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 w:rsidSect="00AD57DD">
      <w:pgSz w:w="11906" w:h="16838"/>
      <w:pgMar w:top="39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D4020"/>
    <w:rsid w:val="00111D8D"/>
    <w:rsid w:val="00150466"/>
    <w:rsid w:val="001F6795"/>
    <w:rsid w:val="00236E67"/>
    <w:rsid w:val="00245274"/>
    <w:rsid w:val="003442AF"/>
    <w:rsid w:val="00357C2D"/>
    <w:rsid w:val="003B3E71"/>
    <w:rsid w:val="004342EB"/>
    <w:rsid w:val="004B292C"/>
    <w:rsid w:val="00560C86"/>
    <w:rsid w:val="005C6574"/>
    <w:rsid w:val="005C6880"/>
    <w:rsid w:val="005C7F39"/>
    <w:rsid w:val="00683DAD"/>
    <w:rsid w:val="0069016B"/>
    <w:rsid w:val="007245EC"/>
    <w:rsid w:val="0072533C"/>
    <w:rsid w:val="007662A1"/>
    <w:rsid w:val="007D3FFF"/>
    <w:rsid w:val="007F149D"/>
    <w:rsid w:val="00802790"/>
    <w:rsid w:val="00832E68"/>
    <w:rsid w:val="00951B76"/>
    <w:rsid w:val="00963BC4"/>
    <w:rsid w:val="00A04A76"/>
    <w:rsid w:val="00A85FCC"/>
    <w:rsid w:val="00AA31DD"/>
    <w:rsid w:val="00AD57DD"/>
    <w:rsid w:val="00B6721B"/>
    <w:rsid w:val="00BA16B2"/>
    <w:rsid w:val="00BF3CFF"/>
    <w:rsid w:val="00C51BD6"/>
    <w:rsid w:val="00C636C6"/>
    <w:rsid w:val="00CC50E5"/>
    <w:rsid w:val="00CC5F35"/>
    <w:rsid w:val="00CD5008"/>
    <w:rsid w:val="00D458BD"/>
    <w:rsid w:val="00DE36EA"/>
    <w:rsid w:val="00DF5ED5"/>
    <w:rsid w:val="00E22C30"/>
    <w:rsid w:val="00E41E89"/>
    <w:rsid w:val="00E73789"/>
    <w:rsid w:val="00EC456A"/>
    <w:rsid w:val="00ED6DE4"/>
    <w:rsid w:val="00EE64CE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90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0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016B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0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016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3606-EBA2-4925-98A4-39B77CB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3</cp:revision>
  <dcterms:created xsi:type="dcterms:W3CDTF">2021-12-22T05:16:00Z</dcterms:created>
  <dcterms:modified xsi:type="dcterms:W3CDTF">2021-12-22T05:27:00Z</dcterms:modified>
</cp:coreProperties>
</file>